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郑军、张超出席。院长万光彩，党委秘书王秋祎列席会议。现将有关事项纪要如下：</w:t>
      </w:r>
      <w:bookmarkStart w:id="0" w:name="_GoBack"/>
      <w:bookmarkEnd w:id="0"/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</w:t>
      </w:r>
      <w:r>
        <w:rPr>
          <w:rFonts w:hint="eastAsia" w:asciiTheme="minorEastAsia" w:hAnsiTheme="minorEastAsia" w:eastAsiaTheme="minorEastAsia"/>
          <w:lang w:val="en-US" w:eastAsia="zh-CN"/>
        </w:rPr>
        <w:t>2020年度党员领导干部民主生活会方案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研究拟提拔副科级干部尚文同志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研究学院就业奖励办法及金额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研究上报困难党员人员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研究成立学院征兵工作领导小组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布置2021年征兵工作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2B0020E5"/>
    <w:rsid w:val="34564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