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/>
        </w:rPr>
        <w:t>日金融学院党委</w:t>
      </w:r>
      <w:r>
        <w:rPr>
          <w:rFonts w:hint="eastAsia" w:asciiTheme="minorEastAsia" w:hAnsiTheme="minorEastAsia" w:eastAsiaTheme="minorEastAsia"/>
          <w:lang w:eastAsia="zh-CN"/>
        </w:rPr>
        <w:t>师德师风专题</w:t>
      </w:r>
      <w:r>
        <w:rPr>
          <w:rFonts w:hint="eastAsia" w:asciiTheme="minorEastAsia" w:hAnsiTheme="minorEastAsia" w:eastAsiaTheme="minorEastAsia"/>
        </w:rPr>
        <w:t>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通报省教育工委、省教育厅关于给予汪飞开除处分的决定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研究学院师德师风考核问题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研究学生联名反映更换导师问题</w:t>
      </w:r>
    </w:p>
    <w:p>
      <w:pPr>
        <w:pStyle w:val="4"/>
        <w:numPr>
          <w:numId w:val="0"/>
        </w:numPr>
        <w:adjustRightInd/>
        <w:snapToGrid/>
        <w:spacing w:before="0" w:beforeAutospacing="0" w:after="0" w:afterAutospacing="0" w:line="500" w:lineRule="exact"/>
        <w:ind w:left="601" w:leftChars="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6791F89"/>
    <w:rsid w:val="20877F73"/>
    <w:rsid w:val="24402A93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1</Lines>
  <Paragraphs>1</Paragraphs>
  <TotalTime>15</TotalTime>
  <ScaleCrop>false</ScaleCrop>
  <LinksUpToDate>false</LinksUpToDate>
  <CharactersWithSpaces>219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2022-10-12T03:12:22Z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